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40" w:after="330" w:line="460" w:lineRule="auto"/>
        <w:jc w:val="center"/>
        <w:outlineLvl w:val="1"/>
      </w:pPr>
      <w:r>
        <w:rPr>
          <w:rFonts w:ascii="宋体" w:hAnsi="宋体" w:eastAsia="宋体" w:cs="宋体"/>
          <w:color w:val="000000"/>
          <w:sz w:val="44"/>
          <w:szCs w:val="44"/>
        </w:rPr>
        <w:t>嘉鱼县人民医院2026年新准入医用耗材询价函</w:t>
      </w:r>
    </w:p>
    <w:p>
      <w:pPr>
        <w:pStyle w:val="17"/>
        <w:spacing w:line="360" w:lineRule="auto"/>
        <w:ind w:firstLine="480"/>
        <w:jc w:val="left"/>
        <w:rPr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致各供应商：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为持续优化医院高值医用耗材供应体系，保障临床诊疗安全、精准与高效，进一步落实国家医保局《关于规范公立医疗机构医用耗材采购管理的指导意见》及湖北省医疗保障局、卫生健康委员会关于“阳光采购、平台挂网、带量联动、分类竞价”的工作要求，现向贵单位进行询价，诚邀贵单位根据以下需求如实报价。</w:t>
      </w:r>
    </w:p>
    <w:p>
      <w:pPr>
        <w:pStyle w:val="17"/>
        <w:numPr>
          <w:ilvl w:val="0"/>
          <w:numId w:val="1"/>
        </w:numPr>
        <w:spacing w:line="360" w:lineRule="auto"/>
        <w:ind w:firstLine="480"/>
        <w:jc w:val="left"/>
        <w:rPr>
          <w:rFonts w:hint="eastAsia" w:cs="宋体"/>
          <w:color w:val="auto"/>
          <w:sz w:val="28"/>
          <w:szCs w:val="28"/>
          <w:lang w:eastAsia="zh-CN"/>
        </w:rPr>
      </w:pPr>
      <w:r>
        <w:rPr>
          <w:rFonts w:ascii="宋体" w:hAnsi="宋体" w:eastAsia="宋体" w:cs="宋体"/>
          <w:color w:val="auto"/>
          <w:sz w:val="28"/>
          <w:szCs w:val="28"/>
        </w:rPr>
        <w:t>询价需求及配件清单</w:t>
      </w:r>
      <w:r>
        <w:rPr>
          <w:color w:val="auto"/>
          <w:sz w:val="28"/>
          <w:szCs w:val="28"/>
        </w:rPr>
        <w:br w:type="textWrapping"/>
      </w:r>
      <w:r>
        <w:rPr>
          <w:rFonts w:ascii="宋体" w:hAnsi="宋体" w:eastAsia="宋体" w:cs="宋体"/>
          <w:color w:val="auto"/>
          <w:sz w:val="28"/>
          <w:szCs w:val="28"/>
        </w:rPr>
        <w:t>  （一）胸外肺结节定位针（含配套穿刺针、定位导丝/微弹簧圈/染色剂等组合套件）</w:t>
      </w:r>
      <w:r>
        <w:rPr>
          <w:rFonts w:hint="eastAsia" w:cs="宋体"/>
          <w:color w:val="auto"/>
          <w:sz w:val="28"/>
          <w:szCs w:val="28"/>
          <w:lang w:eastAsia="zh-CN"/>
        </w:rPr>
        <w:t>。</w:t>
      </w:r>
    </w:p>
    <w:p>
      <w:pPr>
        <w:pStyle w:val="17"/>
        <w:numPr>
          <w:numId w:val="0"/>
        </w:numPr>
        <w:spacing w:line="360" w:lineRule="auto"/>
        <w:jc w:val="left"/>
        <w:rPr>
          <w:rFonts w:hint="eastAsia" w:cs="宋体"/>
          <w:color w:val="auto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color w:val="auto"/>
          <w:sz w:val="28"/>
          <w:szCs w:val="28"/>
        </w:rPr>
        <w:t>  （二）胸骨接骨板、螺钉内固定系统（含钛合金材质胸骨正中劈开术后专用重建板、锁定螺钉、钻头、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探测器、持板钳） </w:t>
      </w:r>
    </w:p>
    <w:p>
      <w:pPr>
        <w:pStyle w:val="17"/>
        <w:numPr>
          <w:numId w:val="0"/>
        </w:numPr>
        <w:spacing w:line="360" w:lineRule="auto"/>
        <w:ind w:firstLine="560" w:firstLineChars="200"/>
        <w:jc w:val="left"/>
        <w:rPr>
          <w:rFonts w:hint="eastAsia" w:eastAsia="宋体"/>
          <w:color w:val="auto"/>
          <w:sz w:val="28"/>
          <w:szCs w:val="28"/>
          <w:lang w:eastAsia="zh-CN"/>
        </w:rPr>
      </w:pPr>
      <w:r>
        <w:rPr>
          <w:rFonts w:ascii="宋体" w:hAnsi="宋体" w:eastAsia="宋体" w:cs="宋体"/>
          <w:color w:val="auto"/>
          <w:sz w:val="28"/>
          <w:szCs w:val="28"/>
        </w:rPr>
        <w:t>（三）普外科胆道引流管，须符合YY 0489-2020《一次性使用无菌引流管》标准</w:t>
      </w:r>
      <w:r>
        <w:rPr>
          <w:rFonts w:hint="eastAsia" w:cs="宋体"/>
          <w:color w:val="auto"/>
          <w:sz w:val="28"/>
          <w:szCs w:val="28"/>
          <w:lang w:eastAsia="zh-CN"/>
        </w:rPr>
        <w:t>。</w:t>
      </w:r>
      <w:r>
        <w:rPr>
          <w:rFonts w:ascii="宋体" w:hAnsi="宋体" w:eastAsia="宋体" w:cs="宋体"/>
          <w:color w:val="auto"/>
          <w:sz w:val="28"/>
          <w:szCs w:val="28"/>
        </w:rPr>
        <w:t>适用于ERCP术后、胆总管探查术后、肝内外胆管结石术后</w:t>
      </w:r>
      <w:r>
        <w:rPr>
          <w:rFonts w:hint="eastAsia" w:cs="宋体"/>
          <w:color w:val="auto"/>
          <w:sz w:val="28"/>
          <w:szCs w:val="28"/>
          <w:lang w:eastAsia="zh-CN"/>
        </w:rPr>
        <w:t>。</w:t>
      </w:r>
    </w:p>
    <w:p>
      <w:pPr>
        <w:pStyle w:val="17"/>
        <w:spacing w:line="360" w:lineRule="auto"/>
        <w:ind w:firstLine="480"/>
        <w:jc w:val="left"/>
        <w:rPr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二、报价须知</w:t>
      </w:r>
      <w:bookmarkStart w:id="0" w:name="_GoBack"/>
      <w:bookmarkEnd w:id="0"/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  （一）请提供详细的报价清单，包括耗材名称、品牌、型号、数量、单价、总价等信息。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  （二）报价应包含耗材、安装调试、培训、售后服务、运输、税费等所有费用，不得有任何隐藏费用。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  （三）报价有效期：本次报价有效期为7天（自报价提交之日起计算）。报价有效期间，报价不得随意更改。</w:t>
      </w:r>
    </w:p>
    <w:p>
      <w:pPr>
        <w:pStyle w:val="17"/>
        <w:spacing w:line="360" w:lineRule="auto"/>
        <w:ind w:firstLine="480"/>
        <w:jc w:val="left"/>
        <w:rPr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三、报价文件提交要求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  （一）具有独立承担民事责任能力的境内企业法人，持有有效营业执照、医疗器械生产/经营许可证（备案凭证），且经营范围覆盖所投产品类别；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  （二）所投产品制造商须具备有效的《医疗器械生产许可证》及对应产品NMPA第三类医疗器械注册证（进口产品须提供《进口医疗器械注册证》及中文说明书）；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  （三）近3年（2023–2025年度）无重大违法记录，未被列入“信用中国”失信被执行人、重大税收违法案件当事人名单、政府采购严重违法失信行为记录名单；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  （四）具备完善的本地化服务能力，在咸宁市或武汉市设有常驻技术服务团队，承诺接到临床需求后2小时内响应、24小时内到位处理；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五</w:t>
      </w:r>
      <w:r>
        <w:rPr>
          <w:rFonts w:ascii="宋体" w:hAnsi="宋体" w:eastAsia="宋体" w:cs="宋体"/>
          <w:color w:val="000000"/>
          <w:sz w:val="28"/>
          <w:szCs w:val="28"/>
        </w:rPr>
        <w:t>）近3年内在湖北省内二级及以上公立医院完成同类耗材供应业绩不少于5例（须提供合同关键页、验收单及用户评价盖章件）；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  （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六</w:t>
      </w:r>
      <w:r>
        <w:rPr>
          <w:rFonts w:ascii="宋体" w:hAnsi="宋体" w:eastAsia="宋体" w:cs="宋体"/>
          <w:color w:val="000000"/>
          <w:sz w:val="28"/>
          <w:szCs w:val="28"/>
        </w:rPr>
        <w:t>）需提交加盖公章并由法定代表人或授权代表签字的正式竞价函；逐项响应的详细报价清单（列明产品名称、注册证号、规格型号、单支/套单价、最小包装单位）；完整技术资料（产品彩页、注册证扫描件、检测报告、材质证明、生物相容性报告、灭菌验证报告）。</w:t>
      </w:r>
    </w:p>
    <w:p>
      <w:pPr>
        <w:pStyle w:val="17"/>
        <w:spacing w:line="360" w:lineRule="auto"/>
        <w:ind w:firstLine="480"/>
        <w:jc w:val="left"/>
        <w:rPr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四、递交要求</w:t>
      </w:r>
      <w:r>
        <w:rPr>
          <w:sz w:val="28"/>
          <w:szCs w:val="28"/>
        </w:rPr>
        <w:br w:type="textWrapping"/>
      </w:r>
      <w:r>
        <w:rPr>
          <w:rFonts w:ascii="宋体" w:hAnsi="宋体" w:eastAsia="宋体" w:cs="宋体"/>
          <w:color w:val="000000"/>
          <w:sz w:val="28"/>
          <w:szCs w:val="28"/>
        </w:rPr>
        <w:t>  递交截止时间为2026年9月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20</w:t>
      </w:r>
      <w:r>
        <w:rPr>
          <w:rFonts w:ascii="宋体" w:hAnsi="宋体" w:eastAsia="宋体" w:cs="宋体"/>
          <w:color w:val="000000"/>
          <w:sz w:val="28"/>
          <w:szCs w:val="28"/>
        </w:rPr>
        <w:t>日1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2</w:t>
      </w:r>
      <w:r>
        <w:rPr>
          <w:rFonts w:ascii="宋体" w:hAnsi="宋体" w:eastAsia="宋体" w:cs="宋体"/>
          <w:color w:val="000000"/>
          <w:sz w:val="28"/>
          <w:szCs w:val="28"/>
        </w:rPr>
        <w:t>:00前（以我院设备科签收时间为准），逾期或未按要求密封者恕不受理。</w:t>
      </w:r>
    </w:p>
    <w:p>
      <w:pPr>
        <w:pStyle w:val="9"/>
        <w:keepNext w:val="0"/>
        <w:keepLines w:val="0"/>
        <w:widowControl/>
        <w:suppressLineNumbers w:val="0"/>
        <w:jc w:val="right"/>
      </w:pPr>
      <w:r>
        <w:t>嘉鱼县人民医院</w:t>
      </w:r>
    </w:p>
    <w:p>
      <w:pPr>
        <w:pStyle w:val="9"/>
        <w:keepNext w:val="0"/>
        <w:keepLines w:val="0"/>
        <w:widowControl/>
        <w:suppressLineNumbers w:val="0"/>
        <w:jc w:val="right"/>
        <w:rPr>
          <w:rFonts w:hint="default" w:eastAsia="宋体"/>
          <w:lang w:val="en-US" w:eastAsia="zh-CN"/>
        </w:rPr>
      </w:pPr>
      <w:r>
        <w:t>2026-0</w:t>
      </w:r>
      <w:r>
        <w:rPr>
          <w:rFonts w:hint="eastAsia"/>
          <w:lang w:val="en-US" w:eastAsia="zh-CN"/>
        </w:rPr>
        <w:t>9</w:t>
      </w:r>
      <w:r>
        <w:t>-</w:t>
      </w:r>
      <w:r>
        <w:rPr>
          <w:rFonts w:hint="eastAsia"/>
          <w:lang w:val="en-US" w:eastAsia="zh-CN"/>
        </w:rPr>
        <w:t>11</w:t>
      </w:r>
    </w:p>
    <w:p>
      <w:pPr>
        <w:pStyle w:val="17"/>
        <w:spacing w:before="240" w:after="240" w:line="360" w:lineRule="auto"/>
        <w:jc w:val="left"/>
        <w:rPr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4F457F"/>
    <w:multiLevelType w:val="singleLevel"/>
    <w:tmpl w:val="EC4F457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ompat>
    <w:useFELayout/>
    <w:compatSetting w:name="compatibilityMode" w:uri="http://schemas.microsoft.com/office/word" w:val="15"/>
  </w:compat>
  <w:docVars>
    <w:docVar w:name="commondata" w:val="eyJoZGlkIjoiMGVmNzE0YmQ0OWY3MjJjYTA2MTViN2Y0M2U5ZDA0MzUifQ=="/>
  </w:docVars>
  <w:rsids>
    <w:rsidRoot w:val="00000000"/>
    <w:rsid w:val="35F80482"/>
    <w:rsid w:val="41F33304"/>
    <w:rsid w:val="680A66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120" w:after="120" w:line="1056" w:lineRule="atLeast"/>
      <w:jc w:val="center"/>
    </w:pPr>
    <w:rPr>
      <w:rFonts w:ascii="宋体" w:hAnsi="宋体" w:eastAsia="宋体" w:cs="宋体"/>
      <w:b/>
      <w:bCs/>
      <w:color w:val="000000"/>
      <w:sz w:val="44"/>
      <w:szCs w:val="44"/>
    </w:rPr>
  </w:style>
  <w:style w:type="paragraph" w:styleId="3">
    <w:name w:val="heading 2"/>
    <w:next w:val="1"/>
    <w:autoRedefine/>
    <w:qFormat/>
    <w:uiPriority w:val="0"/>
    <w:pPr>
      <w:spacing w:before="120" w:after="120" w:line="560" w:lineRule="atLeast"/>
      <w:jc w:val="left"/>
    </w:pPr>
    <w:rPr>
      <w:rFonts w:ascii="宋体" w:hAnsi="宋体" w:eastAsia="宋体" w:cs="宋体"/>
      <w:b/>
      <w:bCs/>
      <w:color w:val="000000"/>
      <w:sz w:val="32"/>
      <w:szCs w:val="32"/>
    </w:rPr>
  </w:style>
  <w:style w:type="paragraph" w:styleId="4">
    <w:name w:val="heading 3"/>
    <w:next w:val="1"/>
    <w:autoRedefine/>
    <w:qFormat/>
    <w:uiPriority w:val="0"/>
    <w:pPr>
      <w:spacing w:before="120" w:after="120" w:line="420" w:lineRule="atLeast"/>
      <w:jc w:val="left"/>
    </w:pPr>
    <w:rPr>
      <w:rFonts w:ascii="宋体" w:hAnsi="宋体" w:eastAsia="宋体" w:cs="宋体"/>
      <w:b/>
      <w:bCs/>
      <w:color w:val="000000"/>
      <w:sz w:val="24"/>
      <w:szCs w:val="24"/>
    </w:rPr>
  </w:style>
  <w:style w:type="paragraph" w:styleId="5">
    <w:name w:val="heading 4"/>
    <w:next w:val="1"/>
    <w:autoRedefine/>
    <w:qFormat/>
    <w:uiPriority w:val="0"/>
    <w:pPr>
      <w:spacing w:before="120" w:after="120" w:line="372" w:lineRule="atLeast"/>
      <w:jc w:val="left"/>
    </w:pPr>
    <w:rPr>
      <w:rFonts w:ascii="黑体" w:hAnsi="黑体" w:eastAsia="黑体" w:cs="黑体"/>
      <w:b/>
      <w:bCs/>
      <w:color w:val="000000"/>
      <w:sz w:val="24"/>
      <w:szCs w:val="24"/>
    </w:rPr>
  </w:style>
  <w:style w:type="paragraph" w:styleId="6">
    <w:name w:val="heading 5"/>
    <w:next w:val="1"/>
    <w:autoRedefine/>
    <w:qFormat/>
    <w:uiPriority w:val="0"/>
    <w:pPr>
      <w:spacing w:before="120" w:after="120" w:line="372" w:lineRule="atLeast"/>
      <w:jc w:val="left"/>
    </w:pPr>
    <w:rPr>
      <w:rFonts w:ascii="宋体" w:hAnsi="宋体" w:eastAsia="宋体" w:cs="宋体"/>
      <w:b/>
      <w:bCs/>
      <w:color w:val="000000"/>
      <w:sz w:val="24"/>
      <w:szCs w:val="24"/>
    </w:rPr>
  </w:style>
  <w:style w:type="paragraph" w:styleId="7">
    <w:name w:val="heading 6"/>
    <w:next w:val="1"/>
    <w:qFormat/>
    <w:uiPriority w:val="0"/>
    <w:pPr>
      <w:spacing w:before="120" w:after="120" w:line="316" w:lineRule="atLeast"/>
      <w:jc w:val="left"/>
    </w:pPr>
    <w:rPr>
      <w:rFonts w:ascii="黑体" w:hAnsi="黑体" w:eastAsia="黑体" w:cs="黑体"/>
      <w:b/>
      <w:bCs/>
      <w:color w:val="000000"/>
      <w:sz w:val="24"/>
      <w:szCs w:val="24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6"/>
    <w:autoRedefine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autoRedefine/>
    <w:qFormat/>
    <w:uiPriority w:val="0"/>
    <w:pPr>
      <w:spacing w:before="120" w:after="120" w:line="1056" w:lineRule="atLeast"/>
      <w:jc w:val="center"/>
    </w:pPr>
    <w:rPr>
      <w:rFonts w:ascii="宋体" w:hAnsi="宋体" w:eastAsia="宋体" w:cs="宋体"/>
      <w:b/>
      <w:bCs/>
      <w:color w:val="000000"/>
      <w:sz w:val="44"/>
      <w:szCs w:val="44"/>
    </w:rPr>
  </w:style>
  <w:style w:type="character" w:styleId="13">
    <w:name w:val="Hyperlink"/>
    <w:autoRedefine/>
    <w:unhideWhenUsed/>
    <w:qFormat/>
    <w:uiPriority w:val="99"/>
    <w:rPr>
      <w:color w:val="0563C1"/>
      <w:u w:val="single"/>
    </w:rPr>
  </w:style>
  <w:style w:type="character" w:styleId="14">
    <w:name w:val="footnote reference"/>
    <w:semiHidden/>
    <w:unhideWhenUsed/>
    <w:uiPriority w:val="99"/>
    <w:rPr>
      <w:vertAlign w:val="superscript"/>
    </w:rPr>
  </w:style>
  <w:style w:type="paragraph" w:styleId="15">
    <w:name w:val="List Paragraph"/>
    <w:qFormat/>
    <w:uiPriority w:val="0"/>
    <w:pPr>
      <w:spacing w:before="120" w:after="120" w:line="360" w:lineRule="atLeast"/>
      <w:ind w:firstLine="480"/>
      <w:jc w:val="left"/>
    </w:pPr>
    <w:rPr>
      <w:rFonts w:ascii="微软雅黑" w:hAnsi="微软雅黑" w:eastAsia="微软雅黑" w:cs="微软雅黑"/>
      <w:color w:val="000000"/>
      <w:sz w:val="24"/>
      <w:szCs w:val="24"/>
    </w:rPr>
  </w:style>
  <w:style w:type="character" w:customStyle="1" w:styleId="16">
    <w:name w:val="Footnote Text Char"/>
    <w:link w:val="8"/>
    <w:autoRedefine/>
    <w:semiHidden/>
    <w:unhideWhenUsed/>
    <w:qFormat/>
    <w:uiPriority w:val="99"/>
    <w:rPr>
      <w:sz w:val="20"/>
      <w:szCs w:val="20"/>
    </w:rPr>
  </w:style>
  <w:style w:type="paragraph" w:customStyle="1" w:styleId="17">
    <w:name w:val="_Style 13"/>
    <w:uiPriority w:val="0"/>
    <w:pPr>
      <w:spacing w:before="120" w:after="120" w:line="360" w:lineRule="atLeast"/>
      <w:jc w:val="left"/>
    </w:pPr>
    <w:rPr>
      <w:rFonts w:ascii="宋体" w:hAnsi="宋体" w:eastAsia="宋体" w:cs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107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2026-09-11T04:02:00Z</dcterms:created>
  <dc:creator>Un-named</dc:creator>
  <cp:lastModifiedBy>张慧</cp:lastModifiedBy>
  <dcterms:modified xsi:type="dcterms:W3CDTF">2026-09-11T08:23:48Z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001191340100343788434A00000","ProduceID":"wjl903g2wiuhhu9nomq38nv7v6ovs4fmlmut","ReserveCode1":"OzoB6MmHGEz3Wvjoc1Cn1cwMp/1d5tJOpswGnmH9","ContentPropagator":"001191340100343788434A00000","PropatorID":"wjl903g2wiuhhu9nomq38nv7v6ovs4fmlmut","ReserveCode2":"OzoB6MmHGEz3Wvjoc1Cn1cwMp/1d5tJOpswGnmH9"}</vt:lpwstr>
  </property>
  <property fmtid="{D5CDD505-2E9C-101B-9397-08002B2CF9AE}" pid="3" name="KSOProductBuildVer">
    <vt:lpwstr>2052-12.1.0.16729</vt:lpwstr>
  </property>
  <property fmtid="{D5CDD505-2E9C-101B-9397-08002B2CF9AE}" pid="4" name="ICV">
    <vt:lpwstr>A6EF90E56DFA48C7AA3E124A02255692_12</vt:lpwstr>
  </property>
</Properties>
</file>