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340" w:after="330" w:line="460" w:lineRule="auto"/>
        <w:jc w:val="center"/>
        <w:outlineLvl w:val="1"/>
      </w:pPr>
      <w:r>
        <w:rPr>
          <w:rFonts w:ascii="宋体" w:hAnsi="宋体" w:eastAsia="宋体" w:cs="宋体"/>
          <w:color w:val="000000"/>
          <w:sz w:val="44"/>
          <w:szCs w:val="44"/>
        </w:rPr>
        <w:t>嘉鱼县人民医院第二批医疗设备采购项目公开询价函</w:t>
      </w:r>
    </w:p>
    <w:p>
      <w:pPr>
        <w:pStyle w:val="9"/>
        <w:keepNext w:val="0"/>
        <w:keepLines w:val="0"/>
        <w:widowControl/>
        <w:suppressLineNumbers w:val="0"/>
        <w:spacing w:line="23" w:lineRule="atLeast"/>
        <w:ind w:left="0" w:firstLine="42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致：各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供应商</w:t>
      </w:r>
      <w:bookmarkStart w:id="0" w:name="_GoBack"/>
      <w:bookmarkEnd w:id="0"/>
    </w:p>
    <w:p>
      <w:pPr>
        <w:pStyle w:val="17"/>
        <w:spacing w:line="288" w:lineRule="auto"/>
        <w:ind w:firstLine="48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嘉鱼县人民医院为进一步提升医疗服务水平，现面向社会对第二批医疗设备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采购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项目进行公开询价，诚邀符合条件的供应商参与报价。</w:t>
      </w:r>
    </w:p>
    <w:p>
      <w:pPr>
        <w:pStyle w:val="3"/>
        <w:spacing w:before="260" w:after="260" w:line="336" w:lineRule="auto"/>
        <w:jc w:val="left"/>
        <w:outlineLvl w:val="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一、询价项目概况</w:t>
      </w:r>
    </w:p>
    <w:p>
      <w:pPr>
        <w:pStyle w:val="17"/>
        <w:spacing w:line="288" w:lineRule="auto"/>
        <w:ind w:firstLine="48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本次询价项目旨在为嘉鱼县人民医院采购一批医疗设备，以满足医院日常医疗工作的需求，提高医疗服务质量和效率，更好地服务广大患者。</w:t>
      </w:r>
    </w:p>
    <w:p>
      <w:pPr>
        <w:pStyle w:val="3"/>
        <w:numPr>
          <w:ilvl w:val="0"/>
          <w:numId w:val="1"/>
        </w:numPr>
        <w:spacing w:before="260" w:after="260" w:line="336" w:lineRule="auto"/>
        <w:jc w:val="left"/>
        <w:outlineLvl w:val="2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采购需求及配件清单</w:t>
      </w:r>
    </w:p>
    <w:tbl>
      <w:tblPr>
        <w:tblStyle w:val="11"/>
        <w:tblW w:w="936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2616"/>
        <w:gridCol w:w="1034"/>
        <w:gridCol w:w="883"/>
        <w:gridCol w:w="883"/>
        <w:gridCol w:w="31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名称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台数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单价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总价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床边支气管镜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含配套的操作手柄、光源导管、活检钳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气囊止血带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便携式，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配备合适规格的气囊、压力表、充气装置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骨髓穿刺枪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配以相应的穿刺针、无菌护套等配件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有创呼吸机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  <w:t>潮气量20-4000ml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超声多普勒胎儿监护仪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全自动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新生儿复苏台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包含复苏面罩、氧气连接管、温度探头等配件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脑电生物反馈治疗仪申购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配套电极帽、信号导线、分析软件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麻醉机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line="23" w:lineRule="atLeast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配备麻醉回路、蒸发器、呼吸囊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CGF专用离心机</w:t>
            </w:r>
            <w:r>
              <w:rPr>
                <w:rStyle w:val="19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 xml:space="preserve">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包含离心转子、转头适配器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血液透析机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2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单泵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干体重测量仪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jc w:val="left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适用于透析患者干体重测量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体腔热灌注治疗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line="23" w:lineRule="atLeast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包含灌注管路、加热装置、温度传感器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白内障超声诊断仪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jc w:val="left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含超乳手柄一套、灌注抽吸（I/A）手柄一套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眼科光学生物测量仪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line="23" w:lineRule="atLeast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包含测量头、数据连接线、校准模块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眼科手术显微镜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line="23" w:lineRule="atLeast"/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配备目镜、物镜、光源、摄像系统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2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眼震电图检查系统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包括眼罩、电极、数据采集盒、分析软件等</w:t>
            </w:r>
          </w:p>
        </w:tc>
      </w:tr>
    </w:tbl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</w:p>
    <w:p>
      <w:pPr>
        <w:pStyle w:val="3"/>
        <w:spacing w:before="260" w:after="260" w:line="336" w:lineRule="auto"/>
        <w:jc w:val="left"/>
        <w:outlineLvl w:val="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三、报价须知</w:t>
      </w:r>
    </w:p>
    <w:p>
      <w:pPr>
        <w:pStyle w:val="4"/>
        <w:spacing w:before="260" w:after="260" w:line="336" w:lineRule="auto"/>
        <w:jc w:val="left"/>
        <w:outlineLvl w:val="3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1. 报价要求</w:t>
      </w:r>
    </w:p>
    <w:p>
      <w:pPr>
        <w:pStyle w:val="17"/>
        <w:spacing w:line="288" w:lineRule="auto"/>
        <w:ind w:firstLine="48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报价应包含设备及配件的价格、运输费、安装调试费、税费等所有费用，以人民币为计价单位，列出每种设备的单价和总价。</w:t>
      </w:r>
    </w:p>
    <w:p>
      <w:pPr>
        <w:pStyle w:val="4"/>
        <w:spacing w:before="260" w:after="260" w:line="336" w:lineRule="auto"/>
        <w:jc w:val="left"/>
        <w:outlineLvl w:val="3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 规格补充</w:t>
      </w:r>
    </w:p>
    <w:p>
      <w:pPr>
        <w:pStyle w:val="17"/>
        <w:spacing w:line="288" w:lineRule="auto"/>
        <w:ind w:firstLine="48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请详细说明所提供设备的品牌、型号、规格参数等，确保设备能满足医院的实际使用需求。如设备有不同配置可选，请分别列出相应的价格。</w:t>
      </w:r>
    </w:p>
    <w:p>
      <w:pPr>
        <w:pStyle w:val="4"/>
        <w:spacing w:before="260" w:after="260" w:line="336" w:lineRule="auto"/>
        <w:jc w:val="left"/>
        <w:outlineLvl w:val="3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 质量标准</w:t>
      </w:r>
    </w:p>
    <w:p>
      <w:pPr>
        <w:pStyle w:val="17"/>
        <w:spacing w:line="288" w:lineRule="auto"/>
        <w:ind w:firstLine="48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所提供的设备须符合国家相关标准和行业规范，具有合格的质量检测报告和认证文件。</w:t>
      </w:r>
    </w:p>
    <w:p>
      <w:pPr>
        <w:pStyle w:val="4"/>
        <w:spacing w:before="260" w:after="260" w:line="336" w:lineRule="auto"/>
        <w:jc w:val="left"/>
        <w:outlineLvl w:val="3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 明确售后服务内容</w:t>
      </w:r>
    </w:p>
    <w:p>
      <w:pPr>
        <w:pStyle w:val="17"/>
        <w:spacing w:line="288" w:lineRule="auto"/>
        <w:ind w:firstLine="48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详细说明售后服务条款，包括设备的质保期限、维修响应时间、免费维护内容、是否提供培训服务等。</w:t>
      </w:r>
    </w:p>
    <w:p>
      <w:pPr>
        <w:pStyle w:val="4"/>
        <w:spacing w:before="260" w:after="260" w:line="336" w:lineRule="auto"/>
        <w:jc w:val="left"/>
        <w:outlineLvl w:val="3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5. 报价有效期</w:t>
      </w:r>
    </w:p>
    <w:p>
      <w:pPr>
        <w:pStyle w:val="9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本次报价有效期为 7 天（自报价提交之日起计算）。</w:t>
      </w:r>
    </w:p>
    <w:p>
      <w:pPr>
        <w:pStyle w:val="3"/>
        <w:spacing w:before="260" w:after="260" w:line="336" w:lineRule="auto"/>
        <w:jc w:val="left"/>
        <w:outlineLvl w:val="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四、报价文件提交要求</w:t>
      </w:r>
    </w:p>
    <w:p>
      <w:pPr>
        <w:pStyle w:val="4"/>
        <w:spacing w:before="260" w:after="260" w:line="336" w:lineRule="auto"/>
        <w:jc w:val="left"/>
        <w:outlineLvl w:val="3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1. 报价文件需加盖单位公章</w:t>
      </w:r>
    </w:p>
    <w:p>
      <w:pPr>
        <w:pStyle w:val="17"/>
        <w:spacing w:line="288" w:lineRule="auto"/>
        <w:ind w:firstLine="48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报价文件应装订成册，一式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两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份，每页均需加盖报价单位公章。报价文件应包含报价表、设备规格说明、售后服务承诺等相关内容。</w:t>
      </w:r>
    </w:p>
    <w:p>
      <w:pPr>
        <w:pStyle w:val="4"/>
        <w:spacing w:before="260" w:after="260" w:line="336" w:lineRule="auto"/>
        <w:jc w:val="left"/>
        <w:outlineLvl w:val="3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 截止时间为7个工作日</w:t>
      </w:r>
    </w:p>
    <w:p>
      <w:pPr>
        <w:pStyle w:val="17"/>
        <w:spacing w:line="288" w:lineRule="auto"/>
        <w:ind w:firstLine="48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请将报价文件在接到本询价函之日起7个工作日内送达或邮寄至以下地址：湖北省咸宁市嘉鱼县鱼岳镇发展大道190号嘉鱼县人民医院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设备科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收，联系电话：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18771266511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。逾期送达的报价文件将不予受理。</w:t>
      </w:r>
    </w:p>
    <w:p>
      <w:pPr>
        <w:pStyle w:val="3"/>
        <w:spacing w:before="260" w:after="260" w:line="336" w:lineRule="auto"/>
        <w:jc w:val="left"/>
        <w:outlineLvl w:val="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五、其他说明</w:t>
      </w:r>
    </w:p>
    <w:p>
      <w:pPr>
        <w:pStyle w:val="17"/>
        <w:spacing w:line="288" w:lineRule="auto"/>
        <w:ind w:firstLine="48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本次询价不构成采购合同，医院有权根据报价情况、设备质量、售后服务等因素综合考虑后选择供应商。如对本次询价有任何疑问，请及时与嘉鱼县人民医院联系。</w:t>
      </w:r>
    </w:p>
    <w:p>
      <w:pPr>
        <w:pStyle w:val="9"/>
        <w:keepNext w:val="0"/>
        <w:keepLines w:val="0"/>
        <w:widowControl/>
        <w:suppressLineNumbers w:val="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询价单位：嘉鱼县人民医院 </w:t>
      </w:r>
    </w:p>
    <w:p>
      <w:pPr>
        <w:pStyle w:val="9"/>
        <w:keepNext w:val="0"/>
        <w:keepLines w:val="0"/>
        <w:widowControl/>
        <w:suppressLineNumbers w:val="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日期：2026年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月2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7日</w:t>
      </w:r>
    </w:p>
    <w:p>
      <w:pPr>
        <w:pStyle w:val="17"/>
        <w:spacing w:before="240" w:after="240"/>
        <w:jc w:val="left"/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6AF02E"/>
    <w:multiLevelType w:val="singleLevel"/>
    <w:tmpl w:val="516AF02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</w:compat>
  <w:docVars>
    <w:docVar w:name="commondata" w:val="eyJoZGlkIjoiMGVmNzE0YmQ0OWY3MjJjYTA2MTViN2Y0M2U5ZDA0MzUifQ=="/>
  </w:docVars>
  <w:rsids>
    <w:rsidRoot w:val="00000000"/>
    <w:rsid w:val="37C03A83"/>
    <w:rsid w:val="67367007"/>
    <w:rsid w:val="77FB19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next w:val="1"/>
    <w:autoRedefine/>
    <w:qFormat/>
    <w:uiPriority w:val="0"/>
    <w:pPr>
      <w:spacing w:before="120" w:after="120" w:line="1056" w:lineRule="atLeast"/>
      <w:jc w:val="center"/>
    </w:pPr>
    <w:rPr>
      <w:rFonts w:ascii="宋体" w:hAnsi="宋体" w:eastAsia="宋体" w:cs="宋体"/>
      <w:b/>
      <w:bCs/>
      <w:color w:val="000000"/>
      <w:sz w:val="44"/>
      <w:szCs w:val="44"/>
    </w:rPr>
  </w:style>
  <w:style w:type="paragraph" w:styleId="3">
    <w:name w:val="heading 2"/>
    <w:next w:val="1"/>
    <w:autoRedefine/>
    <w:qFormat/>
    <w:uiPriority w:val="0"/>
    <w:pPr>
      <w:spacing w:before="120" w:after="120" w:line="560" w:lineRule="atLeast"/>
      <w:jc w:val="left"/>
    </w:pPr>
    <w:rPr>
      <w:rFonts w:ascii="宋体" w:hAnsi="宋体" w:eastAsia="宋体" w:cs="宋体"/>
      <w:b/>
      <w:bCs/>
      <w:color w:val="000000"/>
      <w:sz w:val="32"/>
      <w:szCs w:val="32"/>
    </w:rPr>
  </w:style>
  <w:style w:type="paragraph" w:styleId="4">
    <w:name w:val="heading 3"/>
    <w:next w:val="1"/>
    <w:autoRedefine/>
    <w:qFormat/>
    <w:uiPriority w:val="0"/>
    <w:pPr>
      <w:spacing w:before="120" w:after="120" w:line="420" w:lineRule="atLeast"/>
      <w:jc w:val="left"/>
    </w:pPr>
    <w:rPr>
      <w:rFonts w:ascii="宋体" w:hAnsi="宋体" w:eastAsia="宋体" w:cs="宋体"/>
      <w:b/>
      <w:bCs/>
      <w:color w:val="000000"/>
      <w:sz w:val="24"/>
      <w:szCs w:val="24"/>
    </w:rPr>
  </w:style>
  <w:style w:type="paragraph" w:styleId="5">
    <w:name w:val="heading 4"/>
    <w:next w:val="1"/>
    <w:autoRedefine/>
    <w:qFormat/>
    <w:uiPriority w:val="0"/>
    <w:pPr>
      <w:spacing w:before="120" w:after="120" w:line="372" w:lineRule="atLeast"/>
      <w:jc w:val="left"/>
    </w:pPr>
    <w:rPr>
      <w:rFonts w:ascii="黑体" w:hAnsi="黑体" w:eastAsia="黑体" w:cs="黑体"/>
      <w:b/>
      <w:bCs/>
      <w:color w:val="000000"/>
      <w:sz w:val="24"/>
      <w:szCs w:val="24"/>
    </w:rPr>
  </w:style>
  <w:style w:type="paragraph" w:styleId="6">
    <w:name w:val="heading 5"/>
    <w:next w:val="1"/>
    <w:autoRedefine/>
    <w:qFormat/>
    <w:uiPriority w:val="0"/>
    <w:pPr>
      <w:spacing w:before="120" w:after="120" w:line="372" w:lineRule="atLeast"/>
      <w:jc w:val="left"/>
    </w:pPr>
    <w:rPr>
      <w:rFonts w:ascii="宋体" w:hAnsi="宋体" w:eastAsia="宋体" w:cs="宋体"/>
      <w:b/>
      <w:bCs/>
      <w:color w:val="000000"/>
      <w:sz w:val="24"/>
      <w:szCs w:val="24"/>
    </w:rPr>
  </w:style>
  <w:style w:type="paragraph" w:styleId="7">
    <w:name w:val="heading 6"/>
    <w:next w:val="1"/>
    <w:autoRedefine/>
    <w:qFormat/>
    <w:uiPriority w:val="0"/>
    <w:pPr>
      <w:spacing w:before="120" w:after="120" w:line="316" w:lineRule="atLeast"/>
      <w:jc w:val="left"/>
    </w:pPr>
    <w:rPr>
      <w:rFonts w:ascii="黑体" w:hAnsi="黑体" w:eastAsia="黑体" w:cs="黑体"/>
      <w:b/>
      <w:bCs/>
      <w:color w:val="000000"/>
      <w:sz w:val="24"/>
      <w:szCs w:val="24"/>
    </w:rPr>
  </w:style>
  <w:style w:type="character" w:default="1" w:styleId="12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6"/>
    <w:autoRedefine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autoRedefine/>
    <w:qFormat/>
    <w:uiPriority w:val="0"/>
    <w:pPr>
      <w:spacing w:before="120" w:after="120" w:line="1056" w:lineRule="atLeast"/>
      <w:jc w:val="center"/>
    </w:pPr>
    <w:rPr>
      <w:rFonts w:ascii="宋体" w:hAnsi="宋体" w:eastAsia="宋体" w:cs="宋体"/>
      <w:b/>
      <w:bCs/>
      <w:color w:val="000000"/>
      <w:sz w:val="44"/>
      <w:szCs w:val="44"/>
    </w:rPr>
  </w:style>
  <w:style w:type="character" w:styleId="13">
    <w:name w:val="Hyperlink"/>
    <w:autoRedefine/>
    <w:unhideWhenUsed/>
    <w:qFormat/>
    <w:uiPriority w:val="99"/>
    <w:rPr>
      <w:color w:val="0563C1"/>
      <w:u w:val="single"/>
    </w:rPr>
  </w:style>
  <w:style w:type="character" w:styleId="14">
    <w:name w:val="footnote reference"/>
    <w:autoRedefine/>
    <w:semiHidden/>
    <w:unhideWhenUsed/>
    <w:qFormat/>
    <w:uiPriority w:val="99"/>
    <w:rPr>
      <w:vertAlign w:val="superscript"/>
    </w:rPr>
  </w:style>
  <w:style w:type="paragraph" w:styleId="15">
    <w:name w:val="List Paragraph"/>
    <w:autoRedefine/>
    <w:qFormat/>
    <w:uiPriority w:val="0"/>
    <w:pPr>
      <w:spacing w:before="120" w:after="120" w:line="360" w:lineRule="atLeast"/>
      <w:ind w:firstLine="480"/>
      <w:jc w:val="left"/>
    </w:pPr>
    <w:rPr>
      <w:rFonts w:ascii="微软雅黑" w:hAnsi="微软雅黑" w:eastAsia="微软雅黑" w:cs="微软雅黑"/>
      <w:color w:val="000000"/>
      <w:sz w:val="24"/>
      <w:szCs w:val="24"/>
    </w:rPr>
  </w:style>
  <w:style w:type="character" w:customStyle="1" w:styleId="16">
    <w:name w:val="Footnote Text Char"/>
    <w:link w:val="8"/>
    <w:autoRedefine/>
    <w:semiHidden/>
    <w:unhideWhenUsed/>
    <w:qFormat/>
    <w:uiPriority w:val="99"/>
    <w:rPr>
      <w:sz w:val="20"/>
      <w:szCs w:val="20"/>
    </w:rPr>
  </w:style>
  <w:style w:type="paragraph" w:customStyle="1" w:styleId="17">
    <w:name w:val="_Style 13"/>
    <w:autoRedefine/>
    <w:qFormat/>
    <w:uiPriority w:val="0"/>
    <w:pPr>
      <w:spacing w:before="120" w:after="120" w:line="360" w:lineRule="atLeast"/>
      <w:jc w:val="left"/>
    </w:pPr>
    <w:rPr>
      <w:rFonts w:ascii="宋体" w:hAnsi="宋体" w:eastAsia="宋体" w:cs="宋体"/>
      <w:color w:val="000000"/>
      <w:sz w:val="24"/>
      <w:szCs w:val="24"/>
    </w:rPr>
  </w:style>
  <w:style w:type="character" w:customStyle="1" w:styleId="18">
    <w:name w:val="font21"/>
    <w:basedOn w:val="12"/>
    <w:autoRedefine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19">
    <w:name w:val="font11"/>
    <w:basedOn w:val="12"/>
    <w:autoRedefine/>
    <w:qFormat/>
    <w:uiPriority w:val="0"/>
    <w:rPr>
      <w:rFonts w:ascii="Arial" w:hAnsi="Arial" w:cs="Arial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32</TotalTime>
  <ScaleCrop>false</ScaleCrop>
  <LinksUpToDate>false</LinksUpToDate>
  <Application>WPS Office_12.1.0.16729_F1E327BC-269C-435d-A152-05C5408002CA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2026-08-25T06:34:00Z</dcterms:created>
  <dc:creator>Un-named</dc:creator>
  <cp:lastModifiedBy>张慧</cp:lastModifiedBy>
  <dcterms:modified xsi:type="dcterms:W3CDTF">2026-08-27T00:36:16Z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001191340100343788434A00000","ProduceID":"2n9ny2i2zh00nwr722eshjzy8axjffwsbvde","ReserveCode1":"VuYlBNLBPvEO+vPrPfXRE2E3+jxxCu+wM8H+Jc5K","ContentPropagator":"001191340100343788434A00000","PropatorID":"2n9ny2i2zh00nwr722eshjzy8axjffwsbvde","ReserveCode2":"VuYlBNLBPvEO+vPrPfXRE2E3+jxxCu+wM8H+Jc5K"}</vt:lpwstr>
  </property>
  <property fmtid="{D5CDD505-2E9C-101B-9397-08002B2CF9AE}" pid="3" name="KSOProductBuildVer">
    <vt:lpwstr>2052-12.1.0.16729</vt:lpwstr>
  </property>
  <property fmtid="{D5CDD505-2E9C-101B-9397-08002B2CF9AE}" pid="4" name="ICV">
    <vt:lpwstr>66880BF5E85D44C4B9ECA9DFF9719E47_12</vt:lpwstr>
  </property>
</Properties>
</file>